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2019/41 vom 17. Dezember 2020</w:t>
      </w:r>
    </w:p>
    <w:p>
      <w:r>
        <w:t>Sg Versicherungsgericht, 2020-12-17, DE</w:t>
      </w:r>
    </w:p>
    <w:p>
      <w:r>
        <w:rPr>
          <w:b/>
        </w:rPr>
        <w:t xml:space="preserve">Quelle: </w:t>
      </w:r>
      <w:r>
        <w:t>https://mcp.opencaselaw.ch/entscheid/sg_publikationen_UV 2019_41</w:t>
      </w:r>
    </w:p>
    <w:p>
      <w:r>
        <w:t>FR: SG_VERSICHERUNGSGERICHT UV 2019/41 du 17 décembre 2020</w:t>
      </w:r>
    </w:p>
    <w:p>
      <w:r>
        <w:t>IT: SG_VERSICHERUNGSGERICHT UV 2019/41 del 17 dicembre 2020</w:t>
      </w:r>
    </w:p>
    <w:p>
      <w:pPr>
        <w:pStyle w:val="Heading2"/>
      </w:pPr>
      <w:r>
        <w:t>Regeste</w:t>
      </w:r>
    </w:p>
    <w:p>
      <w:r>
        <w:t>Art. 6 UVG. Bei aus somatischer Sicht uneingeschränkter Arbeitsfähigkeit besteht kein Rentenanspruch. Die Adäquanz der psychischen Beeinträchtigungen ist in Anwendung der Psycho-Praxis zu verneinen. Abweisung der Beschwerde (Entscheid des Versicherungsgerichts des Kantons St. Gallen vom 17. Dezember 2020, UV 2019/41).</w:t>
      </w:r>
    </w:p>
    <w:p>
      <w:pPr>
        <w:pStyle w:val="Heading2"/>
      </w:pPr>
      <w:r>
        <w:t>Erwägungen</w:t>
      </w:r>
    </w:p>
    <w:p>
      <w:r>
        <w:rPr>
          <w:b/>
        </w:rPr>
        <w:t>E. 3.1</w:t>
      </w:r>
    </w:p>
    <w:p>
      <w:r>
        <w:t>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w:t>
      </w:r>
    </w:p>
    <w:p>
      <w:r>
        <w:rPr>
          <w:b/>
        </w:rPr>
        <w:t>E. 3.2</w:t>
      </w:r>
    </w:p>
    <w:p>
      <w:r>
        <w:t>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364 f. E. 5d/bb unten mit Hinweisen auf Lehre und Rechtsprechung; BGE 118 V 291 f.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140 E. 6c/aa (sogenannte Psycho-Praxis) vorzunehmen.</w:t>
      </w:r>
    </w:p>
    <w:p>
      <w:r>
        <w:rPr>
          <w:b/>
        </w:rPr>
        <w:t>E. 3.3</w:t>
      </w:r>
    </w:p>
    <w:p>
      <w:r>
        <w:t>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Nach der Rechtsprechung ist es dem Sozialversicherungsgericht nicht verwehrt, einzig oder im Wesentlichen gestützt auf die versicherungsinterne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 mit Hinweis; bestätigt in Urteil des Bundesgerichts vom 23. November 2012, 8C_592/2012, E. 5.3). Erachtet das Sozialversicherungsgericht die rechtserheblichen tatsächlichen Entscheid Grundlagen bei pflichtgemässer Beweiswürdigung als schlüssig, darf es den Prozess ohne Weiterungen abschliessen (vgl. BGE 135 V 469 E. 4.3.2, mit Hinweisen). Diesfalls besteht kein Anspruch auf Beizug versicherungsexterner medizinischer Gutachten (BGE 122 V 157).</w:t>
      </w:r>
    </w:p>
    <w:p>
      <w:r>
        <w:rPr>
          <w:b/>
        </w:rPr>
        <w:t>E. 4.1</w:t>
      </w:r>
    </w:p>
    <w:p>
      <w:r>
        <w:t>In somatischer Hinsicht erlitt die Beschwerdeführerin beim Ereignis vom 13. April 2014 eine linksseitige Luxationsfraktur C5/6 mit Laminafraktur und Fraktur des Pedikels C5. Diese Verletzungen wurden am Unfalltag operativ versorgt (Suva-act. 2, 4). Drei Monate postoperativ klagte die Beschwerdeführerin noch über Verspannungen im Nacken- und Schulterbereich links sowie eine Hypästhesie im Bereich des Daumens links. Es zeigte sich eine unveränderte Lage des Osteosynthesematerials bei regelrechtem Alignement der Halswirbelsäule. Die Narbenverhältnisse waren reizlos, die Kraft der oberen Extremität symmetrisch und die Motorik der linken Hand unauffällig. Aufgrund dieser günstigen Befunde bescheinigten die Ärzte des KSSG und Dr. E.___ in somatischer Hinsicht per 11. Juli 2014 nachvollziehbar wieder eine 100%-ige Arbeitsfähigkeit (Suva-act. 34, 36). In der Folge hielten die Beschwerden im Bereich des linken Schulter- und Nackengürtels sowie das Taubheitsgefühl an der linken Daumenkuppe zwar an (vgl. Suva-act. 56); ein am 11. Juni 2015 durchgeführtes MRI der Halswirbelsäule zeigte indes eine gute Implantatlage und keinen Anhalt für cervicale Spinalkanal- oder Foramenstenosen und kein pathologisches Korrelat zur Erklärung der weiterhin bestehenden Beschwerden. Zur Lockerung des Schulter- und Nackengürtels wurde weiterhin Physiotherapie empfohlen (Suva-act. 56). Die Beschwerden hielten im weiteren Verlauf unverändert an (Suva-act. 67). Hinweise auf neurologische Unfallfolgen (Radikulopathie) liessen sich gemäss Untersuchungsbericht von Prof. F.___ vom 26. Januar 2018 nicht finden (Suva-act. 96) und auch die zuvor erstellte Bildgebung der Halswirbelsäule vom 17. August 2017 hatte keine neuen Erkenntnisse ergeben (Suva-act. 97).</w:t>
      </w:r>
    </w:p>
    <w:p>
      <w:r>
        <w:rPr>
          <w:b/>
        </w:rPr>
        <w:t>E. 4.2</w:t>
      </w:r>
    </w:p>
    <w:p>
      <w:r>
        <w:t>Gestützt auf die vorstehende Schilderung des somatischen Gesundheitsverlaufs leuchtet es ein, dass Dr. I.___ nach der umfassenden kreisärztlichen Untersuchung vom 24. September 2018 mit ebenfalls günstigen Befunden zum Schluss gelangte, dass in somatischer Hinsicht der medizinische Endzustand erreicht sei (Suva-act. 136). Die Operation vom 13. April 2014 war erfolgreich verlaufen und die mehrmalige Kontrolle des Operationsergebnisses mit Röntgenuntersuchungen und MRI der Halswirbelsäule hatte keine Auffälligkeiten gezeigt, sodass sich die anhaltenden Beschwerden nicht vollumfänglich objektivieren liessen (Suva-act. 56). Der Beschwerdeführerin wurde zur Linderung der (muskulären) Schmerzen lediglich noch Physiotherapie empfohlen. Therapieoptionen, welche auf eine namhafte Besserung im Sinne des Gesetzes und der Rechtsprechung (vgl. dazu nebst vielen Urteil des Bundesgerichts vom 22. September 2016, 8C_306/2016, E. 5.3) abzielten, standen bereits drei Monate postoperativ nicht mehr im Raum. Es bestehen bezüglich medizinischem Endzustand damit keine auch nur geringen Zweifel an der kreisärztlichen Beurteilung, weshalb die Beschwerdegegnerin mit Verfügung vom 22. Oktober 2018 den Fall abschliessen und den Rentenanspruch beurteilen konnte (vgl. Art. 19 Abs. 1 UVG).</w:t>
      </w:r>
    </w:p>
    <w:p>
      <w:r>
        <w:rPr>
          <w:b/>
        </w:rPr>
        <w:t>E. 5</w:t>
      </w:r>
    </w:p>
    <w:p>
      <w:r>
        <w:t>In somatischer Hinsicht wurde der Beschwerdeführerin von den behandelnden Ärzten bereits per 11. Juli 2014 eine volle Arbeitsfähigkeit in der angestammten Tätigkeit in der Verwaltung bei der B.___ bescheinigt (Suva-act. 34, 36). In der Folge veränderte sich der somatische Gesundheitszustand nicht derart, dass von dieser Einschätzung im Verlauf abgewichen werden müsste. Entsprechend attestierte auch Dr. I.___ trotz noch bestehender, glaubhaft geltend gemachter linksseitiger muskulärer Restbeschwerden im Nacken (occipital bis Schultergürtel) nachvollziehbar und schlüssig eine uneingeschränkte Arbeitsfähigkeit in der angestammten Tätigkeit. Die Beschwerdeführerin macht in der Beschwerde zwar geltend, sie könne wegen der Schmerzen nicht mehr als Disponentin im Zollwesen bei der B.___ arbeiten (act. G 1 S. 3); sie substantiiert diese Einschätzung indes nicht bzw. kann dies nicht mit entsprechenden Beurteilungen von Fachpersonen belegen. Damit kann ohne weiteres auf die Einschätzungen der behandelnden Ärzte und von Dr. I.___ abgestellt werden und es ist seit 11. Juli 2014 medizinisch-theoretisch überwiegend wahrscheinlich von keiner unfallkausalen, somatisch bedingten Einschränkung der Arbeitsfähigkeit in der angestammten Tätigkeit mehr auszugehen. Dies gilt auch für die geltend gemachte geplante Tätigkeit als Zolldeklarantin (act. G 1 S. 7, act. G 12 S. 3, 12.1.1). Somit erleidet die Beschwerdeführerin aus unfallkausaler somatischer Sicht keinen Erwerbsausfall und es resultiert daraus kein rentenbegründender Invaliditätsgrad.</w:t>
      </w:r>
    </w:p>
    <w:p>
      <w:r>
        <w:rPr>
          <w:b/>
        </w:rPr>
        <w:t>E. 6.1</w:t>
      </w:r>
    </w:p>
    <w:p>
      <w:r>
        <w:t>Zu prüfen bleibt, ob die psychische Problematik, welche seit September 2016 zu Arbeitsunfähigkeiten und zu ambulanten, stationären und teilstationären Behandlungen führten (vgl. dazu im Sachverhalt lit. A.f und A.j; vgl. ferner Suva-act. 108-6 ff., 122-1 ff., 122-16 ff., 122-23 ff., 123-3), sowie allfällige organisch nicht hinreichend objektivierbare Beschwerden (vgl. dazu vorstehende E. 4.1 und Suva-act. 56) mit überwiegender Wahrscheinlichkeit auf den Unfall zurückzuführen sind. Diesbezüglich bedarf es, wie in E. 3.2 ausgeführt, einer eigenständigen Adäquanzbeurteilung nach der sogenannten Psycho-Praxis.</w:t>
      </w:r>
    </w:p>
    <w:p>
      <w:r>
        <w:rPr>
          <w:b/>
        </w:rPr>
        <w:t>E. 6.2</w:t>
      </w:r>
    </w:p>
    <w:p>
      <w:r>
        <w:t>Ein adäquater Kausalzusammenhang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(BGE 115 V 139 ff. E. 6a f.).</w:t>
      </w:r>
    </w:p>
    <w:p>
      <w:r>
        <w:rPr>
          <w:b/>
        </w:rPr>
        <w:t>E. 6.3</w:t>
      </w:r>
    </w:p>
    <w:p>
      <w:r>
        <w:t>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Um die adäquate Kausalität bejahen zu können, müssen nicht alle Umstände gegeben sein. Vielmehr genügt ein Kriterium, wenn es sich um einen schweren Unfall im mittleren Bereich handelt. Falls keinem Kriterium besonderes Gewicht zukommt, müssen mehrere unfallbezogene Kriterien bejaht werden können. Dabei gilt, dass je leichter der Unfall ist, desto mehr Kriterien erfüllt sein müssen.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w:t>
      </w:r>
    </w:p>
    <w:p>
      <w:r>
        <w:rPr>
          <w:b/>
        </w:rPr>
        <w:t>E. 6.4</w:t>
      </w:r>
    </w:p>
    <w:p>
      <w:r>
        <w:t>Gemäss unbestrittenem Unfall- bzw. Tathergang versetzte ein Angreifer der Beschwerdeführerin vor der C.___-Bar in D.___ zwei Faustschläge ins Gesicht. Nach dem ersten Schlag fiel sie zu Boden, konnte aber sogleich wieder aufstehen. Beim zweiten Schlag fiel die Versicherte rückwärts mit dem Hinterkopf gegen einen Zaun (Suva-act. 143-13). Mit der Beschwerdegegnerin ist bei diesem Unfallgeschehen in Anlehnung an die Rechtsprechung (vgl. dazu Urteil des Bundesgerichts vom 31. August 2010, 8C_1062/2009, E. 4.2.1) von einem mittelschweren Ereignis im engeren Sinn auszugehen. Folglich müssen für die Bejahung des adäquaten Kausalzusammenhangs mindestens drei der relevanten Kriterien oder ein einzelnes Kriterium in besonders ausgeprägter Weise erfüllt sein. Bei der Prüfung dieser Kriterien sind psychische Aspekte bzw. organisch nicht ausreichend ausgewiesene Beschwerden ausser Acht zu lassen (BGE 115 V 140 E. 6c/aa; Urteil des Bundesgerichts vom 28. April 2010, 8C_903/2009, E. 4.6).</w:t>
      </w:r>
    </w:p>
    <w:p>
      <w:r>
        <w:rPr>
          <w:b/>
        </w:rPr>
        <w:t>E. 6.5</w:t>
      </w:r>
    </w:p>
    <w:p>
      <w:r>
        <w:t>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 wie auch vorliegend – eine gewisse Eindrücklichkeit eigen ist, die noch nicht für die Bejahung dieses Adäquanzkriteriums ausreichen kann (vgl. SVR 2009 UV Nr. 41 S. 142). Von einer besonderen Eindrücklichkeit oder Dramatik im Sinn der Rechtsprechung kann im vorliegenden Fall nicht gesprochen werden. Weder dauerte der tätliche Übergriff lange, noch kam er vollends unerwartet (Suva-act. 44-6 f.). Dieses Kriterium ist damit zu verneinen. Die Beschwerdeführerin erlitt beim tätlichen Übergriff durch den Aufprall an einem Zaun eine linksseitige Luxationsfraktur C5/6 mit Laminafraktur und eine Fraktur des Pedikels C5 rechts. Ob damit das Kriterium der Schwere oder besonderen Art der erlittenen Verletzung, insbesondere ihre erfahrungsgemässe Eignung, psychische Fehlentwicklungen auszulösen, in einfacher Form erfüllt ist, kann offenbleiben, nachdem es als einziges Kriterium erfüllt wäre, jedoch ohnehin nicht in ausgeprägter Weise. Denn eine ärztliche Fehlbehandlung, welche die Unfallfolgen erheblich verschlimmert hätte, ist nicht ersichtlich und bei der Prüfung der übrigen Kriterien – ungewöhnlich lange Dauer der ärztlichen Behandlung, körperliche Dauerschmerzen, schwieriger Heilungsverlauf und erhebliche Komplikationen sowie Grad und Dauer der Arbeitsunfähigkeit – ist von Relevanz, dass diese mit Blick auf die organisch ausgewiesenen Unfallfolgen bzw. mangels relevanter Beeinträchtigung bereits rund drei Monate postoperativ aufgrund der zeitlichen Komponente nicht erfüllt sind.</w:t>
      </w:r>
    </w:p>
    <w:p>
      <w:r>
        <w:rPr>
          <w:b/>
        </w:rPr>
        <w:t>E. 6.6</w:t>
      </w:r>
    </w:p>
    <w:p>
      <w:r>
        <w:t>Da somit höchstens eines der zu berücksichtigenden Kriterien erfüllt ist, dieses jedoch in nicht besonders ausgeprägter Weise, ist der adäquate Kausalzusammenhang zwischen dem Unfall vom 13. April 2014 und den geklagten nicht hinreichend objektivierbaren und den psychischen Beschwerden zu verneinen. Damit erübrigt sich eine Auseinandersetzung mit dem natürlichen Kausalzusammenhang zwischen diesen Beschwerden und dem in Frage stehenden Unfallereignis (BGE 135 V 472 E. 5.1). Die Beschwerdegegnerin hat diesbezügliche Leistungsansprüche somit zu Recht verneint bzw. diese Beschwerden bei der Rentenprüfung nicht berücksichtigt. Damit bleibt es dabei, dass kein unfallkausaler rentenbegründender Invaliditätsgrad vorliegt (vgl. dazu vorstehende E. 5). Die Beschwerde ist in diesem Punkt abzuweisen.</w:t>
      </w:r>
    </w:p>
    <w:p>
      <w:r>
        <w:rPr>
          <w:b/>
        </w:rPr>
        <w:t>E. 7.1</w:t>
      </w:r>
    </w:p>
    <w:p>
      <w:r>
        <w:t>Zu prüfen bleibt der Anspruch auf eine Integritätsentschädigung. Die Beschwerdegegnerin hat in der Verfügung vom 22. Oktober 2018 (Suva-act. 139), bestätigt im Einspracheentscheid vom 17. Mai 2019 (Suva-act. 146), eine solche auf Basis einer Integritätseinbusse von 12% für den somatischen Gesundheitsschaden festgelegt. Dabei stützte sie sich auf die Beurteilung des Kreisarztes Dr. I.___ vom 24. September 2018 (Suva-act. 135).</w:t>
      </w:r>
    </w:p>
    <w:p>
      <w:r>
        <w:rPr>
          <w:b/>
        </w:rPr>
        <w:t>E. 7.2</w:t>
      </w:r>
    </w:p>
    <w:p>
      <w:r>
        <w:t>Der Rechtsvertreter der Beschwerdeführerin beantragt eine Integritätsentschädigung in Höhe von mindestens 32.5%. Dabei entfielen mindestens 17.5% auf den somatischen Gesundheitsschaden und mindestens 15% auf die psychischen Unfallfolgen (act. G 1 S. 2 und 6 f.). Die Beschwerdegegnerin beantragt in der Beschwerdeantwort eine reformatio in peius. Der Integritätsschaden der physisch objektivierbaren Unfallfolgen betrage nur 5% (act. G 2 S. 2 und 7).</w:t>
      </w:r>
    </w:p>
    <w:p>
      <w:r>
        <w:rPr>
          <w:b/>
        </w:rPr>
        <w:t>E. 7.3</w:t>
      </w:r>
    </w:p>
    <w:p>
      <w:r>
        <w:t>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Die Schätzung der Integritätseinbusse einer versicherten Person ist ein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BGE 126 V 81 E. 6 mit Hinweis).</w:t>
      </w:r>
    </w:p>
    <w:p>
      <w:r>
        <w:rPr>
          <w:b/>
        </w:rPr>
        <w:t>E. 7.4</w:t>
      </w:r>
    </w:p>
    <w:p>
      <w:r>
        <w:t>Vorab ist festzuhalten, dass die psychische Problematik (inkl. der organisch nicht hinreichend objektivierbaren Beschwerden) mangels Kausalität (vgl. vorstehende E. 6) zu keinem Anspruch auf eine Integritätsentschädigung führt. In somatischer Hinsicht stützt sich Dr. I.___ bei seiner Einschätzung von 12% unter anderem auf die Suva-Tabelle 7 (Integritätsschaden bei Wirbelsäulenaffektionen). Gemäss dessen Punkt 1 (Frakturen LWS/BWS/HWS inkl. Spondylodese) addiert mit Punkt 4 (Status nach Spondylodese) erachtet er einen Integritätsschaden von 10% (zweimal 5%) als angemessen. Im Weiteren hält er 2% für die Sensibilitätsstörung an der linken Daumenbeere mit geringer Funktionsbehinderung bezüglich Feinarbeit für angezeigt (Suva-act. 135). Diesbezüglich nennt er keine Tabelle. Die linksseitigen muskulären Restbeschwerden im Nacken sind gemäss Dr. I.___ glaubwürdig (Suva-act. 136-6) und als unfallkausal zu qualifizieren. Sie führen zwar nicht zu einer Arbeitsunfähigkeit, bestehen indes über den Fallabschluss hinaus. Es leuchtet auch ein, dass nach der erfolgten Operation gewisse Beeinträchtigungen zurückbleiben. Entsprechend ist schlüssig und nachvollziehbar, dass Dr. I.___ gestützt auf die Suva-Tabelle 7 bei mässigen (+) bis geringen (++) Schmerzen den Integritätsschaden auf 5% plus zusätzlich 5% bei Status nach Spondylodese geschätzt hat ( https://www.suva.ch/de-CH/material/Dokumentationen/tabelle-07-integritaetsschaden-bei-wirbelsaeulenaffektionen ; eingesehen am 17. Dezember 2020). Auch die von Dr. I.___ zusätzlich veranschlagten 2% aufgrund der unfallkausalen Sensibilitätsstörung an der linken Daumenbeere mit geringer Funktionsbehinderung bezüglich Feinarbeit sind in analoger Anwendung von Suva-Tabelle 3 (Integritätsschaden bei einfachen oder kombinierten Finger-, Hand- und Armverlusten) nicht zu beanstanden, nachdem sich für den Verlust eines Gliedes des Daumens ein Integritätsschaden von 5% rechtfertigt ( https://www.suva.ch/de-CH/material/Dokumentationen/tabelle-03-integritaetsschaden-bei-einfachen-oder-kombinierten-finger-hand-und-armverlusten ; eingesehen am 17. Dezember 2020). Gestützt auf das Gesagte rechtfertigt sich weder eine reformatio in peius noch eine Erhöhung der Integritätsentschädigung. Die Beschwerde ist auch in diesem Punkt abzuweisen.</w:t>
      </w:r>
    </w:p>
    <w:p>
      <w:r>
        <w:rPr>
          <w:b/>
        </w:rPr>
        <w:t>E. 8</w:t>
      </w:r>
    </w:p>
    <w:p>
      <w:r>
        <w:t>Im Sinne der vorstehenden Erwägungen ist der Einspracheentscheid vom 17. Mai 2019 nicht zu beanstanden und die dagegen erhobene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